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607A15D6" w:rsidR="00721D32" w:rsidRPr="006C464C" w:rsidRDefault="00AB22BB" w:rsidP="006C4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6C464C" w:rsidRPr="006C464C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6C464C" w:rsidRPr="006C464C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6C464C" w:rsidRPr="006C464C">
        <w:rPr>
          <w:rFonts w:ascii="Times New Roman" w:hAnsi="Times New Roman" w:cs="Times New Roman"/>
          <w:sz w:val="24"/>
          <w:szCs w:val="24"/>
        </w:rPr>
        <w:t xml:space="preserve"> университета. Серия: Физика, математика и компьютерные науки»</w:t>
      </w:r>
      <w:r w:rsidR="000B2AB3" w:rsidRPr="006C464C">
        <w:rPr>
          <w:rFonts w:ascii="Times New Roman" w:hAnsi="Times New Roman"/>
          <w:sz w:val="24"/>
          <w:szCs w:val="24"/>
        </w:rPr>
        <w:t xml:space="preserve">, 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2892C380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6C464C" w:rsidRPr="006C464C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6C464C" w:rsidRPr="006C464C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6C464C" w:rsidRPr="006C464C">
        <w:rPr>
          <w:rFonts w:ascii="Times New Roman" w:hAnsi="Times New Roman" w:cs="Times New Roman"/>
          <w:sz w:val="24"/>
          <w:szCs w:val="24"/>
        </w:rPr>
        <w:t xml:space="preserve"> университета. Серия: Физика, математика и компьютерные науки</w:t>
      </w:r>
      <w:proofErr w:type="gramStart"/>
      <w:r w:rsidR="006C464C" w:rsidRPr="006C464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="006C464C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proofErr w:type="gramEnd"/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C464C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12</cp:revision>
  <cp:lastPrinted>2026-03-17T04:29:00Z</cp:lastPrinted>
  <dcterms:created xsi:type="dcterms:W3CDTF">2026-03-17T03:58:00Z</dcterms:created>
  <dcterms:modified xsi:type="dcterms:W3CDTF">2026-04-02T11:15:00Z</dcterms:modified>
</cp:coreProperties>
</file>